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4959C63" w:rsidR="00D6147A" w:rsidRDefault="004603FF" w:rsidP="004603FF">
      <w:hyperlink r:id="rId6" w:history="1">
        <w:r w:rsidRPr="008F3E66">
          <w:rPr>
            <w:rStyle w:val="Collegamentoipertestuale"/>
          </w:rPr>
          <w:t>https://www.borsaitaliana.it/borsa/notizie/radiocor/finanza/dettaglio/cambi-per-40-operatori-eurodollaro-fermo-nel-breve-assiom-forex-nRC_14022025_1009_224593099.html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544"/>
    <w:rsid w:val="00151F32"/>
    <w:rsid w:val="00152DCB"/>
    <w:rsid w:val="001538A8"/>
    <w:rsid w:val="001546FD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cambi-per-40-operatori-eurodollaro-fermo-nel-breve-assiom-forex-nRC_14022025_1009_22459309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2025-02-19T15:37:00Z</dcterms:created>
  <dcterms:modified xsi:type="dcterms:W3CDTF">2025-02-19T15:37:00Z</dcterms:modified>
</cp:coreProperties>
</file>